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73605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6" w:line="700" w:lineRule="exact"/>
        <w:ind w:firstLine="880"/>
        <w:jc w:val="center"/>
        <w:textAlignment w:val="auto"/>
        <w:rPr>
          <w:rFonts w:hint="eastAsia" w:ascii="方正小标宋简体" w:hAnsi="方正小标宋简体" w:eastAsia="方正小标宋简体" w:cs="方正小标宋简体"/>
          <w:outline w:val="0"/>
          <w:color w:val="040404"/>
          <w:kern w:val="0"/>
          <w:sz w:val="44"/>
          <w:szCs w:val="44"/>
          <w:u w:color="040404"/>
          <w:shd w:val="clear" w:color="auto" w:fill="FFFFFF"/>
          <w:lang w:val="zh-TW" w:eastAsia="zh-TW"/>
        </w:rPr>
      </w:pPr>
      <w:r>
        <w:rPr>
          <w:rFonts w:hint="eastAsia" w:ascii="方正小标宋简体" w:hAnsi="方正小标宋简体" w:eastAsia="方正小标宋简体" w:cs="方正小标宋简体"/>
          <w:outline w:val="0"/>
          <w:color w:val="040404"/>
          <w:kern w:val="0"/>
          <w:sz w:val="44"/>
          <w:szCs w:val="44"/>
          <w:u w:color="040404"/>
          <w:shd w:val="clear" w:color="auto" w:fill="FFFFFF"/>
          <w:rtl w:val="0"/>
          <w:lang w:val="zh-TW" w:eastAsia="zh-TW"/>
        </w:rPr>
        <w:t>浙江大学物理学（求是科学班）</w:t>
      </w:r>
    </w:p>
    <w:p w14:paraId="278873E4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6" w:line="700" w:lineRule="exact"/>
        <w:ind w:firstLine="880"/>
        <w:jc w:val="center"/>
        <w:textAlignment w:val="auto"/>
        <w:rPr>
          <w:rFonts w:hint="eastAsia" w:ascii="仿宋_GB2312" w:hAnsi="仿宋_GB2312" w:eastAsia="仿宋_GB2312" w:cs="仿宋_GB2312"/>
          <w:outline w:val="0"/>
          <w:color w:val="040404"/>
          <w:kern w:val="0"/>
          <w:sz w:val="44"/>
          <w:szCs w:val="44"/>
          <w:u w:color="040404"/>
          <w:shd w:val="clear" w:color="auto" w:fill="FFFFFF"/>
          <w:rtl w:val="0"/>
          <w:lang w:val="zh-TW" w:eastAsia="zh-CN"/>
        </w:rPr>
      </w:pPr>
      <w:r>
        <w:rPr>
          <w:rFonts w:hint="eastAsia" w:ascii="方正小标宋简体" w:hAnsi="方正小标宋简体" w:eastAsia="方正小标宋简体" w:cs="方正小标宋简体"/>
          <w:outline w:val="0"/>
          <w:color w:val="040404"/>
          <w:kern w:val="0"/>
          <w:sz w:val="44"/>
          <w:szCs w:val="44"/>
          <w:u w:color="040404"/>
          <w:shd w:val="clear" w:color="auto" w:fill="FFFFFF"/>
          <w:rtl w:val="0"/>
          <w:lang w:val="en-US"/>
        </w:rPr>
        <w:t>202</w:t>
      </w:r>
      <w:r>
        <w:rPr>
          <w:rFonts w:hint="eastAsia" w:ascii="方正小标宋简体" w:hAnsi="方正小标宋简体" w:eastAsia="方正小标宋简体" w:cs="方正小标宋简体"/>
          <w:outline w:val="0"/>
          <w:color w:val="040404"/>
          <w:kern w:val="0"/>
          <w:sz w:val="44"/>
          <w:szCs w:val="44"/>
          <w:u w:color="040404"/>
          <w:shd w:val="clear" w:color="auto" w:fill="FFFFFF"/>
          <w:rtl w:val="0"/>
          <w:lang w:val="zh-CN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outline w:val="0"/>
          <w:color w:val="040404"/>
          <w:kern w:val="0"/>
          <w:sz w:val="44"/>
          <w:szCs w:val="44"/>
          <w:u w:color="040404"/>
          <w:shd w:val="clear" w:color="auto" w:fill="FFFFFF"/>
          <w:rtl w:val="0"/>
          <w:lang w:val="zh-TW" w:eastAsia="zh-TW"/>
        </w:rPr>
        <w:t>年招生简章</w:t>
      </w:r>
    </w:p>
    <w:p w14:paraId="2FEAEB56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6" w:line="600" w:lineRule="exact"/>
        <w:ind w:firstLine="879"/>
        <w:jc w:val="center"/>
        <w:textAlignment w:val="auto"/>
        <w:rPr>
          <w:rFonts w:hint="eastAsia"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CN"/>
        </w:rPr>
      </w:pPr>
    </w:p>
    <w:p w14:paraId="712ADF8E">
      <w:pPr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/>
        <w:jc w:val="center"/>
        <w:textAlignment w:val="auto"/>
        <w:rPr>
          <w:rFonts w:ascii="黑体" w:hAnsi="黑体" w:eastAsia="黑体" w:cs="黑体"/>
          <w:sz w:val="32"/>
          <w:szCs w:val="32"/>
          <w:lang w:val="zh-TW" w:eastAsia="zh-TW"/>
        </w:rPr>
      </w:pPr>
      <w:r>
        <w:rPr>
          <w:rFonts w:ascii="黑体" w:hAnsi="黑体" w:eastAsia="黑体" w:cs="黑体"/>
          <w:sz w:val="32"/>
          <w:szCs w:val="32"/>
          <w:rtl w:val="0"/>
          <w:lang w:val="zh-TW" w:eastAsia="zh-TW"/>
        </w:rPr>
        <w:t>【班级介绍】</w:t>
      </w:r>
    </w:p>
    <w:p w14:paraId="1F4223CF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textAlignment w:val="auto"/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物理学（求是科学班）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以培养具有扎实的数理基础和较强的实验技能、身心健康和思维敏捷、对物理学有浓厚兴趣的拔尖人才为宗旨，毕业的学生应具有广阔的国际视野、富有创新意识和较强的人际交流能力，显示出深厚的从事物理学研究的才能，有较大潜力成为国际一流的物理学前沿研究的领军人物。毕业生中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en-US"/>
        </w:rPr>
        <w:t>90%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以上继续在海内外高校深造。</w:t>
      </w:r>
    </w:p>
    <w:p w14:paraId="69842055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textAlignment w:val="auto"/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</w:pPr>
    </w:p>
    <w:p w14:paraId="2F46AE86">
      <w:pPr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/>
        <w:jc w:val="center"/>
        <w:textAlignment w:val="auto"/>
        <w:rPr>
          <w:rFonts w:ascii="黑体" w:hAnsi="黑体" w:eastAsia="黑体" w:cs="黑体"/>
          <w:sz w:val="32"/>
          <w:szCs w:val="32"/>
          <w:lang w:val="zh-TW" w:eastAsia="zh-TW"/>
        </w:rPr>
      </w:pPr>
      <w:r>
        <w:rPr>
          <w:rFonts w:ascii="黑体" w:hAnsi="黑体" w:eastAsia="黑体" w:cs="黑体"/>
          <w:sz w:val="32"/>
          <w:szCs w:val="32"/>
          <w:rtl w:val="0"/>
          <w:lang w:val="zh-TW" w:eastAsia="zh-TW"/>
        </w:rPr>
        <w:t>【培养特色】</w:t>
      </w:r>
    </w:p>
    <w:p w14:paraId="683CF841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黑体" w:hAnsi="黑体" w:eastAsia="黑体" w:cs="黑体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一、特别选拔，单独编班</w:t>
      </w:r>
    </w:p>
    <w:p w14:paraId="5D241DEC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每年从全校新生中选拔优秀学生，单独编班，因材施教，特殊培养。</w:t>
      </w:r>
    </w:p>
    <w:p w14:paraId="304DDB38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二、配备优质的教学师资</w:t>
      </w:r>
    </w:p>
    <w:p w14:paraId="528BB155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选派最优秀的教师负责各门物理基础课程以及专业课程的教学，部分课程聘请国际、国内著名专家讲授。</w:t>
      </w:r>
    </w:p>
    <w:p w14:paraId="78B14E92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三、实施全程导师制，实施个性化培养</w:t>
      </w:r>
    </w:p>
    <w:p w14:paraId="75FFD6FA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为每一位物理求是科学班的学生配备最好的专业导师。导师团队由中国科学院院士、国家杰出青年基金获得者等高层次人才组成。</w:t>
      </w:r>
    </w:p>
    <w:p w14:paraId="74568FDF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四、学研结合，注重培养学生自主学习能力</w:t>
      </w:r>
    </w:p>
    <w:p w14:paraId="5B958E32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采用小班化、研讨式教学模式，从学习内容、过程、评价、成果等多方面推进研究性教学，使学生从中学的应试教育转变为自主学习。学生在导师的指导下修读个性化课程，强化科研能力的培养，开阔科研视野。</w:t>
      </w:r>
    </w:p>
    <w:p w14:paraId="311299FB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五、国际化培养</w:t>
      </w:r>
    </w:p>
    <w:p w14:paraId="41ED95F7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求是科学班的学生在本科阶段至少有一次短期出国（境）研修学习的机会。每年有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en-US"/>
        </w:rPr>
        <w:t>30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人次赴境外交流学习，包括：美国哈佛大学、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en-US"/>
        </w:rPr>
        <w:t>MIT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、普林斯顿大学、布朗大学、莱斯大学、加州大学伯克利分校、加州大学戴维斯分校、哥伦比亚大学、德国亚琛工业大学、加拿大麦克马斯特大学、新加坡国立大学、新加坡南洋理工学院、日本京都大学、香港大学、香港中文大学等。</w:t>
      </w:r>
    </w:p>
    <w:p w14:paraId="2FE1A842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六、引入专家评估，注重培养学生的竞争意识</w:t>
      </w:r>
    </w:p>
    <w:p w14:paraId="76221AC5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引入专家组，每学期综合学生的学业、素质、能力等表现，对每位学生进行评估。综合评估学生最适合就读的专业，适当分流，同时在全校范围内选拔优秀学生进入求是科学班，保证求是科学班班级内部学风纯正，积极向上。</w:t>
      </w:r>
    </w:p>
    <w:p w14:paraId="526D3832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</w:rPr>
      </w:pPr>
    </w:p>
    <w:p w14:paraId="0D616E9F">
      <w:pPr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/>
        <w:jc w:val="center"/>
        <w:textAlignment w:val="auto"/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lang w:val="zh-TW" w:eastAsia="zh-TW"/>
        </w:rPr>
      </w:pPr>
      <w:r>
        <w:rPr>
          <w:rFonts w:ascii="黑体" w:hAnsi="黑体" w:eastAsia="黑体" w:cs="黑体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【选拔要求】</w:t>
      </w:r>
    </w:p>
    <w:p w14:paraId="7596DF10">
      <w:pPr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firstLine="643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选拔人数</w:t>
      </w:r>
      <w:r>
        <w:rPr>
          <w:rFonts w:ascii="仿宋_GB2312" w:hAnsi="仿宋_GB2312" w:eastAsia="仿宋_GB2312" w:cs="仿宋_GB2312"/>
          <w:b/>
          <w:bCs/>
          <w:sz w:val="32"/>
          <w:szCs w:val="32"/>
          <w:rtl w:val="0"/>
          <w:lang w:val="zh-TW" w:eastAsia="zh-TW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18</w:t>
      </w:r>
      <w:r>
        <w:rPr>
          <w:rFonts w:ascii="仿宋_GB2312" w:hAnsi="仿宋_GB2312" w:eastAsia="仿宋_GB2312" w:cs="仿宋_GB2312"/>
          <w:sz w:val="32"/>
          <w:szCs w:val="32"/>
          <w:rtl w:val="0"/>
          <w:lang w:val="zh-TW" w:eastAsia="zh-TW"/>
        </w:rPr>
        <w:t>人</w:t>
      </w:r>
    </w:p>
    <w:p w14:paraId="4C68C79C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一、对物理专业具有浓厚兴趣，并立志将来从事物理及其相关领域的科学研究工作的理科新生（根据浙大招生规定不允许调整专业的学生除外）。</w:t>
      </w:r>
    </w:p>
    <w:p w14:paraId="2F6E809A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40404"/>
          <w:sz w:val="32"/>
          <w:szCs w:val="32"/>
          <w:u w:color="040404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二、正直诚实、勤奋刻苦，具有顽强毅力和钻研精神，拥有很好的自学能力和自我控制能力，能够从容应对高强度的学业和科研压力，以及激烈的竞争机制。</w:t>
      </w:r>
    </w:p>
    <w:p w14:paraId="51AB2E90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firstLine="643"/>
        <w:textAlignment w:val="auto"/>
        <w:rPr>
          <w:rFonts w:ascii="仿宋_GB2312" w:hAnsi="仿宋_GB2312" w:eastAsia="仿宋_GB2312" w:cs="仿宋_GB2312"/>
          <w:b/>
          <w:bCs/>
          <w:outline w:val="0"/>
          <w:color w:val="151515"/>
          <w:sz w:val="32"/>
          <w:szCs w:val="32"/>
          <w:u w:color="151515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三、满足下列条件之一：</w:t>
      </w:r>
    </w:p>
    <w:p w14:paraId="43E76B03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firstLine="640"/>
        <w:jc w:val="both"/>
        <w:textAlignment w:val="auto"/>
        <w:rPr>
          <w:rFonts w:ascii="仿宋_GB2312" w:hAnsi="仿宋_GB2312" w:eastAsia="仿宋_GB2312" w:cs="仿宋_GB2312"/>
          <w:outline w:val="0"/>
          <w:color w:val="151515"/>
          <w:sz w:val="32"/>
          <w:szCs w:val="32"/>
          <w:u w:color="151515"/>
        </w:rPr>
      </w:pP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（一）浙江省考生高考总分达到理科试验班录取分数线，物理单科成绩达到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/>
        </w:rPr>
        <w:t>95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分且数学单科成绩折算成百分制后达到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/>
        </w:rPr>
        <w:t>85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分。</w:t>
      </w:r>
    </w:p>
    <w:p w14:paraId="33CEFCB8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firstLine="640"/>
        <w:textAlignment w:val="auto"/>
        <w:rPr>
          <w:rFonts w:ascii="仿宋_GB2312" w:hAnsi="仿宋_GB2312" w:eastAsia="仿宋_GB2312" w:cs="仿宋_GB2312"/>
          <w:outline w:val="0"/>
          <w:color w:val="151515"/>
          <w:sz w:val="32"/>
          <w:szCs w:val="32"/>
          <w:u w:color="151515"/>
        </w:rPr>
      </w:pP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（二）浙江省以外省份考生，高考总分名列所在省份前列。物理或理综成绩折算成百分制后达到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/>
        </w:rPr>
        <w:t>90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分且数学单科成绩折算成百分制后达到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/>
        </w:rPr>
        <w:t>85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分。</w:t>
      </w:r>
      <w:r>
        <w:rPr>
          <w:rFonts w:ascii="仿宋_GB2312" w:hAnsi="仿宋_GB2312" w:eastAsia="仿宋_GB2312" w:cs="仿宋_GB2312"/>
          <w:kern w:val="0"/>
          <w:sz w:val="32"/>
          <w:szCs w:val="32"/>
          <w:rtl w:val="0"/>
          <w:lang w:val="zh-TW" w:eastAsia="zh-TW"/>
        </w:rPr>
        <w:t>新高考省份考生，必须选考物理。</w:t>
      </w:r>
    </w:p>
    <w:p w14:paraId="43EE921F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</w:rPr>
      </w:pP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（三）有特别才能者（如考生获得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省级以上物理竞赛一等奖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、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获省级以上竞赛三等奖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en-US"/>
        </w:rPr>
        <w:t>2</w:t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>项以上（其中一项为物理）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等，需在申请表中如实、简要说明）。</w:t>
      </w:r>
    </w:p>
    <w:p w14:paraId="5A9F152E">
      <w:pPr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textAlignment w:val="auto"/>
        <w:rPr>
          <w:rFonts w:ascii="仿宋_GB2312" w:hAnsi="仿宋_GB2312" w:eastAsia="仿宋_GB2312" w:cs="仿宋_GB2312"/>
          <w:b/>
          <w:bCs/>
          <w:outline w:val="0"/>
          <w:color w:val="000000"/>
          <w:kern w:val="0"/>
          <w:sz w:val="32"/>
          <w:szCs w:val="32"/>
          <w:u w:color="000000"/>
          <w:shd w:val="clear" w:color="auto" w:fill="FFFFFF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outline w:val="0"/>
          <w:color w:val="000000"/>
          <w:kern w:val="0"/>
          <w:sz w:val="32"/>
          <w:szCs w:val="32"/>
          <w:u w:color="000000"/>
          <w:shd w:val="clear" w:color="auto" w:fill="FFFFFF"/>
          <w:rtl w:val="0"/>
          <w:lang w:val="zh-TW" w:eastAsia="zh-TW"/>
        </w:rPr>
        <w:t>四、重要提示</w:t>
      </w:r>
    </w:p>
    <w:p w14:paraId="1CBCFB8D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学生只能选报求是科学班中的一个专业（选报两个及以上专业作废）；提前批次考生不能参加本次选拔。</w:t>
      </w:r>
    </w:p>
    <w:p w14:paraId="313EB4AB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lang w:val="zh-TW" w:eastAsia="zh-TW"/>
        </w:rPr>
      </w:pPr>
    </w:p>
    <w:p w14:paraId="2E8BFB57">
      <w:pPr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firstLine="640"/>
        <w:jc w:val="center"/>
        <w:textAlignment w:val="auto"/>
        <w:rPr>
          <w:rFonts w:ascii="黑体" w:hAnsi="黑体" w:eastAsia="黑体" w:cs="黑体"/>
          <w:outline w:val="0"/>
          <w:color w:val="000000"/>
          <w:kern w:val="0"/>
          <w:sz w:val="32"/>
          <w:szCs w:val="32"/>
          <w:u w:color="000000"/>
          <w:lang w:val="zh-TW" w:eastAsia="zh-TW"/>
        </w:rPr>
      </w:pPr>
      <w:r>
        <w:rPr>
          <w:rFonts w:ascii="黑体" w:hAnsi="黑体" w:eastAsia="黑体" w:cs="黑体"/>
          <w:outline w:val="0"/>
          <w:color w:val="000000"/>
          <w:kern w:val="0"/>
          <w:sz w:val="32"/>
          <w:szCs w:val="32"/>
          <w:u w:color="000000"/>
          <w:rtl w:val="0"/>
          <w:lang w:val="zh-TW" w:eastAsia="zh-TW"/>
        </w:rPr>
        <w:t>【咨询方式】</w:t>
      </w:r>
    </w:p>
    <w:p w14:paraId="0E0E1441">
      <w:pPr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</w:rPr>
      </w:pP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zh-TW" w:eastAsia="zh-TW"/>
        </w:rPr>
        <w:t xml:space="preserve">马老师 </w:t>
      </w:r>
      <w:r>
        <w:rPr>
          <w:rStyle w:val="9"/>
          <w:rFonts w:ascii="仿宋_GB2312" w:hAnsi="仿宋_GB2312" w:eastAsia="仿宋_GB2312" w:cs="仿宋_GB2312"/>
          <w:outline w:val="0"/>
          <w:kern w:val="0"/>
          <w:sz w:val="32"/>
          <w:szCs w:val="32"/>
          <w:shd w:val="clear" w:color="auto" w:fill="FFFFFF"/>
          <w:lang w:val="en-US"/>
        </w:rPr>
        <w:fldChar w:fldCharType="begin"/>
      </w:r>
      <w:r>
        <w:rPr>
          <w:rStyle w:val="9"/>
          <w:rFonts w:ascii="仿宋_GB2312" w:hAnsi="仿宋_GB2312" w:eastAsia="仿宋_GB2312" w:cs="仿宋_GB2312"/>
          <w:outline w:val="0"/>
          <w:kern w:val="0"/>
          <w:sz w:val="32"/>
          <w:szCs w:val="32"/>
          <w:shd w:val="clear" w:color="auto" w:fill="FFFFFF"/>
          <w:lang w:val="en-US"/>
        </w:rPr>
        <w:instrText xml:space="preserve"> HYPERLINK "mailto:phymayt@zju.edu.cn"</w:instrText>
      </w:r>
      <w:r>
        <w:rPr>
          <w:rStyle w:val="9"/>
          <w:rFonts w:ascii="仿宋_GB2312" w:hAnsi="仿宋_GB2312" w:eastAsia="仿宋_GB2312" w:cs="仿宋_GB2312"/>
          <w:outline w:val="0"/>
          <w:kern w:val="0"/>
          <w:sz w:val="32"/>
          <w:szCs w:val="32"/>
          <w:shd w:val="clear" w:color="auto" w:fill="FFFFFF"/>
          <w:lang w:val="en-US"/>
        </w:rPr>
        <w:fldChar w:fldCharType="separate"/>
      </w:r>
      <w:r>
        <w:rPr>
          <w:rStyle w:val="9"/>
          <w:rFonts w:ascii="仿宋_GB2312" w:hAnsi="仿宋_GB2312" w:eastAsia="仿宋_GB2312" w:cs="仿宋_GB2312"/>
          <w:outline w:val="0"/>
          <w:kern w:val="0"/>
          <w:sz w:val="32"/>
          <w:szCs w:val="32"/>
          <w:shd w:val="clear" w:color="auto" w:fill="FFFFFF"/>
          <w:rtl w:val="0"/>
          <w:lang w:val="en-US"/>
        </w:rPr>
        <w:t>phymayt@zju.edu.cn</w:t>
      </w:r>
      <w:r>
        <w:fldChar w:fldCharType="end"/>
      </w:r>
      <w:r>
        <w:rPr>
          <w:rFonts w:ascii="仿宋_GB2312" w:hAnsi="仿宋_GB2312" w:eastAsia="仿宋_GB2312" w:cs="仿宋_GB2312"/>
          <w:outline w:val="0"/>
          <w:color w:val="040404"/>
          <w:kern w:val="0"/>
          <w:sz w:val="32"/>
          <w:szCs w:val="32"/>
          <w:u w:color="040404"/>
          <w:shd w:val="clear" w:color="auto" w:fill="FFFFFF"/>
          <w:rtl w:val="0"/>
          <w:lang w:val="en-US"/>
        </w:rPr>
        <w:t>, 18868817976</w:t>
      </w:r>
    </w:p>
    <w:p w14:paraId="6BB91B10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right="139" w:firstLine="640"/>
        <w:jc w:val="right"/>
        <w:textAlignment w:val="auto"/>
        <w:rPr>
          <w:outline w:val="0"/>
          <w:color w:val="000000"/>
          <w:sz w:val="32"/>
          <w:szCs w:val="32"/>
          <w:u w:color="000000"/>
          <w:shd w:val="clear" w:color="auto" w:fill="FFFFFF"/>
        </w:rPr>
      </w:pPr>
    </w:p>
    <w:p w14:paraId="21AF629D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right="139" w:firstLine="640"/>
        <w:jc w:val="right"/>
        <w:textAlignment w:val="auto"/>
        <w:rPr>
          <w:outline w:val="0"/>
          <w:color w:val="000000"/>
          <w:sz w:val="32"/>
          <w:szCs w:val="32"/>
          <w:u w:color="000000"/>
          <w:shd w:val="clear" w:color="auto" w:fill="FFFFFF"/>
        </w:rPr>
      </w:pPr>
    </w:p>
    <w:p w14:paraId="353E6B68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right="139" w:firstLine="640"/>
        <w:jc w:val="right"/>
        <w:textAlignment w:val="auto"/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</w:rPr>
      </w:pPr>
      <w:r>
        <w:rPr>
          <w:rFonts w:hint="default" w:ascii="Calibri" w:hAnsi="Calibri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/>
        </w:rPr>
        <w:t> 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浙江大学竺可桢学院</w:t>
      </w:r>
    </w:p>
    <w:p w14:paraId="215A27BF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right="139" w:firstLine="640"/>
        <w:jc w:val="right"/>
        <w:textAlignment w:val="auto"/>
        <w:rPr>
          <w:rFonts w:ascii="仿宋_GB2312" w:hAnsi="仿宋_GB2312" w:eastAsia="仿宋_GB2312" w:cs="仿宋_GB2312"/>
          <w:outline w:val="0"/>
          <w:color w:val="151515"/>
          <w:sz w:val="32"/>
          <w:szCs w:val="32"/>
          <w:u w:color="151515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浙江大学物理学院</w:t>
      </w:r>
    </w:p>
    <w:p w14:paraId="339E0837">
      <w:pPr>
        <w:pStyle w:val="2"/>
        <w:keepNext w:val="0"/>
        <w:keepLines w:val="0"/>
        <w:pageBreakBefore w:val="0"/>
        <w:framePr w:wrap="auto" w:vAnchor="margin" w:hAnchor="text" w:yAlign="inline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right="139" w:firstLine="640"/>
        <w:jc w:val="right"/>
        <w:textAlignment w:val="auto"/>
        <w:rPr>
          <w:rFonts w:hint="default" w:eastAsia="仿宋_GB2312"/>
          <w:lang w:val="en-US" w:eastAsia="zh-CN"/>
        </w:rPr>
      </w:pP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/>
        </w:rPr>
        <w:t>202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CN" w:eastAsia="zh-CN"/>
        </w:rPr>
        <w:t>5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年</w:t>
      </w:r>
      <w:r>
        <w:rPr>
          <w:rFonts w:hint="eastAsia"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 w:eastAsia="zh-CN"/>
        </w:rPr>
        <w:t>8</w:t>
      </w:r>
      <w:r>
        <w:rPr>
          <w:rFonts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zh-TW" w:eastAsia="zh-TW"/>
        </w:rPr>
        <w:t>月</w:t>
      </w:r>
      <w:r>
        <w:rPr>
          <w:rFonts w:hint="eastAsia" w:ascii="仿宋_GB2312" w:hAnsi="仿宋_GB2312" w:eastAsia="仿宋_GB2312" w:cs="仿宋_GB2312"/>
          <w:outline w:val="0"/>
          <w:color w:val="000000"/>
          <w:sz w:val="32"/>
          <w:szCs w:val="32"/>
          <w:u w:color="000000"/>
          <w:shd w:val="clear" w:color="auto" w:fill="FFFFFF"/>
          <w:rtl w:val="0"/>
          <w:lang w:val="en-US" w:eastAsia="zh-CN"/>
        </w:rPr>
        <w:t>1日</w:t>
      </w:r>
    </w:p>
    <w:sectPr>
      <w:headerReference r:id="rId5" w:type="default"/>
      <w:footerReference r:id="rId6" w:type="default"/>
      <w:pgSz w:w="11900" w:h="16840"/>
      <w:pgMar w:top="2098" w:right="1474" w:bottom="1871" w:left="1588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8B5E3">
    <w:pPr>
      <w:pStyle w:val="7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8279A">
    <w:pPr>
      <w:pStyle w:val="7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03B22EB7"/>
    <w:rsid w:val="111331E7"/>
    <w:rsid w:val="1656327E"/>
    <w:rsid w:val="21701F90"/>
    <w:rsid w:val="261858CF"/>
    <w:rsid w:val="40FC0FC1"/>
    <w:rsid w:val="4E571C5E"/>
    <w:rsid w:val="663E18C2"/>
    <w:rsid w:val="66C92F34"/>
    <w:rsid w:val="70B07280"/>
    <w:rsid w:val="7BA551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Calibri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hint="eastAsia" w:ascii="Arial Unicode MS" w:hAnsi="Arial Unicode MS" w:eastAsia="Calibri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  <w:lang w:val="en-US"/>
    </w:rPr>
  </w:style>
  <w:style w:type="character" w:styleId="5">
    <w:name w:val="Hyperlink"/>
    <w:qFormat/>
    <w:uiPriority w:val="0"/>
    <w:rPr>
      <w:u w:val="single"/>
    </w:rPr>
  </w:style>
  <w:style w:type="table" w:customStyle="1" w:styleId="6">
    <w:name w:val="Table Normal"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7">
    <w:name w:val="页眉与页脚"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character" w:customStyle="1" w:styleId="8">
    <w:name w:val="链接"/>
    <w:qFormat/>
    <w:uiPriority w:val="0"/>
    <w:rPr>
      <w:color w:val="0000FF"/>
      <w:u w:val="single" w:color="0000FF"/>
    </w:rPr>
  </w:style>
  <w:style w:type="character" w:customStyle="1" w:styleId="9">
    <w:name w:val="Hyperlink.0"/>
    <w:basedOn w:val="8"/>
    <w:uiPriority w:val="0"/>
    <w:rPr>
      <w:rFonts w:ascii="仿宋_GB2312" w:hAnsi="仿宋_GB2312" w:eastAsia="仿宋_GB2312" w:cs="仿宋_GB2312"/>
      <w:kern w:val="0"/>
      <w:sz w:val="32"/>
      <w:szCs w:val="32"/>
      <w:shd w:val="clear" w:color="auto" w:fill="FFFFFF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PingFang SC Semibold"/>
        <a:ea typeface="PingFang SC Semibold"/>
        <a:cs typeface="PingFang SC Semibold"/>
      </a:majorFont>
      <a:minorFont>
        <a:latin typeface="PingFang SC Regular"/>
        <a:ea typeface="PingFang SC Regular"/>
        <a:cs typeface="PingFang SC Regular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1197</Words>
  <Characters>1241</Characters>
  <TotalTime>2</TotalTime>
  <ScaleCrop>false</ScaleCrop>
  <LinksUpToDate>false</LinksUpToDate>
  <CharactersWithSpaces>1244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2025-07-24T01:41:00Z</dcterms:created>
  <dc:creator>Dell</dc:creator>
  <cp:lastModifiedBy>CMY</cp:lastModifiedBy>
  <dcterms:modified xsi:type="dcterms:W3CDTF">2025-07-31T06:52:41Z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eyJoZGlkIjoiMjVkNzZkNWM3ODIzZTE2MWQ3MDYwOWE2YmU0NDJjNGUiLCJ1c2VySWQiOiI1NTkxNjA4MTQifQ==</vt:lpwstr>
  </property>
  <property fmtid="{D5CDD505-2E9C-101B-9397-08002B2CF9AE}" pid="3" name="KSOProductBuildVer">
    <vt:lpwstr>2052-12.1.0.21171</vt:lpwstr>
  </property>
  <property fmtid="{D5CDD505-2E9C-101B-9397-08002B2CF9AE}" pid="4" name="ICV">
    <vt:lpwstr>EBA86B8F95DC40A0A7ADC0B97062ABE8_12</vt:lpwstr>
  </property>
</Properties>
</file>